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067" w:rsidRDefault="00DB2E15" w:rsidP="00400067">
      <w:pPr>
        <w:rPr>
          <w:b/>
          <w:bCs/>
          <w:i/>
          <w:iCs/>
          <w:color w:val="365F91" w:themeColor="accent1" w:themeShade="BF"/>
          <w:sz w:val="34"/>
          <w:szCs w:val="34"/>
        </w:rPr>
      </w:pPr>
      <w:r>
        <w:pict>
          <v:rect id="Rectangle 1" o:spid="_x0000_s1026" style="position:absolute;margin-left:0;margin-top:-70.4pt;width:842.8pt;height:48.15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" fillcolor="#0070c0" stroked="f">
            <v:textbox style="mso-next-textbox:#Rectangle 1">
              <w:txbxContent>
                <w:p w:rsidR="00400067" w:rsidRDefault="00400067" w:rsidP="00400067">
                  <w:pPr>
                    <w:spacing w:after="0"/>
                    <w:rPr>
                      <w:b/>
                      <w:bCs/>
                      <w:color w:val="FFFFFF"/>
                      <w:sz w:val="34"/>
                      <w:szCs w:val="34"/>
                      <w:lang w:eastAsia="pt-PT"/>
                    </w:rPr>
                  </w:pPr>
                </w:p>
                <w:p w:rsidR="00400067" w:rsidRDefault="00400067" w:rsidP="00400067">
                  <w:pPr>
                    <w:spacing w:after="0"/>
                    <w:ind w:left="1134"/>
                    <w:rPr>
                      <w:szCs w:val="52"/>
                    </w:rPr>
                  </w:pPr>
                  <w:r>
                    <w:rPr>
                      <w:rFonts w:ascii="DINOT-Regular" w:hAnsi="DINOT-Regular" w:cs="DINOT-Regular"/>
                      <w:color w:val="FFFFFF"/>
                      <w:sz w:val="34"/>
                      <w:szCs w:val="34"/>
                    </w:rPr>
                    <w:t xml:space="preserve">Soluções · </w:t>
                  </w:r>
                  <w:r>
                    <w:rPr>
                      <w:rFonts w:ascii="DINOT-Bold" w:hAnsi="DINOT-Bold" w:cs="DINOT-Bold"/>
                      <w:b/>
                      <w:bCs/>
                      <w:color w:val="FFFFFF"/>
                      <w:sz w:val="34"/>
                      <w:szCs w:val="34"/>
                    </w:rPr>
                    <w:t>Fichas de trabalho por domínio</w:t>
                  </w:r>
                </w:p>
              </w:txbxContent>
            </v:textbox>
            <w10:wrap anchorx="page"/>
          </v:rect>
        </w:pict>
      </w:r>
      <w:r w:rsidR="00400067">
        <w:rPr>
          <w:b/>
          <w:bCs/>
          <w:color w:val="365F91" w:themeColor="accent1" w:themeShade="BF"/>
          <w:sz w:val="26"/>
          <w:szCs w:val="26"/>
        </w:rPr>
        <w:t>Educação Literária</w:t>
      </w:r>
    </w:p>
    <w:p w:rsidR="00400067" w:rsidRDefault="00400067" w:rsidP="00400067">
      <w:pPr>
        <w:autoSpaceDE w:val="0"/>
        <w:autoSpaceDN w:val="0"/>
        <w:adjustRightInd w:val="0"/>
        <w:spacing w:before="120" w:after="0"/>
        <w:rPr>
          <w:color w:val="365F91" w:themeColor="accent1" w:themeShade="BF"/>
          <w:sz w:val="16"/>
          <w:szCs w:val="16"/>
        </w:rPr>
      </w:pPr>
      <w:r>
        <w:rPr>
          <w:b/>
          <w:bCs/>
          <w:color w:val="365F91" w:themeColor="accent1" w:themeShade="BF"/>
          <w:sz w:val="21"/>
          <w:szCs w:val="21"/>
        </w:rPr>
        <w:t xml:space="preserve">Ficha 4 · Eça de Queirós, </w:t>
      </w:r>
      <w:r>
        <w:rPr>
          <w:b/>
          <w:bCs/>
          <w:i/>
          <w:color w:val="365F91" w:themeColor="accent1" w:themeShade="BF"/>
          <w:sz w:val="21"/>
          <w:szCs w:val="21"/>
        </w:rPr>
        <w:t>Os Maias</w:t>
      </w:r>
      <w:r>
        <w:rPr>
          <w:b/>
          <w:bCs/>
          <w:color w:val="365F91" w:themeColor="accent1" w:themeShade="BF"/>
          <w:sz w:val="21"/>
          <w:szCs w:val="21"/>
        </w:rPr>
        <w:t xml:space="preserve"> </w:t>
      </w:r>
      <w:r>
        <w:rPr>
          <w:color w:val="365F91" w:themeColor="accent1" w:themeShade="BF"/>
          <w:sz w:val="16"/>
          <w:szCs w:val="16"/>
        </w:rPr>
        <w:t>(p. 100)</w:t>
      </w:r>
    </w:p>
    <w:p w:rsidR="00400067" w:rsidRDefault="00400067" w:rsidP="00400067">
      <w:pPr>
        <w:autoSpaceDE w:val="0"/>
        <w:autoSpaceDN w:val="0"/>
        <w:adjustRightInd w:val="0"/>
        <w:spacing w:before="120" w:after="0" w:line="240" w:lineRule="auto"/>
        <w:rPr>
          <w:b/>
          <w:bCs/>
          <w:color w:val="5A8DFF"/>
          <w:sz w:val="21"/>
          <w:szCs w:val="21"/>
        </w:rPr>
      </w:pPr>
    </w:p>
    <w:p w:rsidR="001406D6" w:rsidRPr="002735DE" w:rsidRDefault="001406D6" w:rsidP="00400067">
      <w:pPr>
        <w:autoSpaceDE w:val="0"/>
        <w:autoSpaceDN w:val="0"/>
        <w:adjustRightInd w:val="0"/>
        <w:spacing w:before="120" w:after="0"/>
        <w:ind w:left="180" w:hanging="180"/>
        <w:jc w:val="both"/>
        <w:rPr>
          <w:color w:val="000000"/>
          <w:szCs w:val="20"/>
        </w:rPr>
      </w:pPr>
      <w:r w:rsidRPr="002735DE">
        <w:rPr>
          <w:b/>
          <w:bCs/>
          <w:color w:val="000000"/>
          <w:szCs w:val="20"/>
        </w:rPr>
        <w:t xml:space="preserve">1. </w:t>
      </w:r>
      <w:r w:rsidRPr="002735DE">
        <w:rPr>
          <w:color w:val="000000"/>
          <w:szCs w:val="20"/>
        </w:rPr>
        <w:t xml:space="preserve">O excerto transcrito integra-se na analepse inicial d’ </w:t>
      </w:r>
      <w:r w:rsidRPr="002735DE">
        <w:rPr>
          <w:i/>
          <w:iCs/>
          <w:color w:val="000000"/>
          <w:szCs w:val="20"/>
        </w:rPr>
        <w:t>Os Maias</w:t>
      </w:r>
      <w:r w:rsidRPr="002735DE">
        <w:rPr>
          <w:color w:val="000000"/>
          <w:szCs w:val="20"/>
        </w:rPr>
        <w:t>, aludindo, em termos de ação secundária, aos tempos de namoro de Pedro e Maria Monforte e à primeira vez que Afonso vê a futura esposa do filho.</w:t>
      </w:r>
    </w:p>
    <w:p w:rsidR="001406D6" w:rsidRPr="002735DE" w:rsidRDefault="001406D6" w:rsidP="00400067">
      <w:pPr>
        <w:autoSpaceDE w:val="0"/>
        <w:autoSpaceDN w:val="0"/>
        <w:adjustRightInd w:val="0"/>
        <w:spacing w:before="120" w:after="0"/>
        <w:ind w:left="180" w:hanging="180"/>
        <w:rPr>
          <w:color w:val="000000"/>
          <w:szCs w:val="20"/>
        </w:rPr>
      </w:pPr>
      <w:r w:rsidRPr="002735DE">
        <w:rPr>
          <w:b/>
          <w:bCs/>
          <w:color w:val="000000"/>
          <w:szCs w:val="20"/>
        </w:rPr>
        <w:t xml:space="preserve">2. </w:t>
      </w:r>
      <w:r w:rsidRPr="002735DE">
        <w:rPr>
          <w:color w:val="000000"/>
          <w:szCs w:val="20"/>
        </w:rPr>
        <w:t xml:space="preserve">O texto pode dividir-se em duas partes. A primeira – linhas 1 a 11 – corresponde fundamentalmente ao diálogo travado, </w:t>
      </w:r>
      <w:r w:rsidRPr="002735DE">
        <w:rPr>
          <w:i/>
          <w:iCs/>
          <w:color w:val="000000"/>
          <w:szCs w:val="20"/>
        </w:rPr>
        <w:t xml:space="preserve">“em Benfica” </w:t>
      </w:r>
      <w:r w:rsidRPr="002735DE">
        <w:rPr>
          <w:color w:val="000000"/>
          <w:szCs w:val="20"/>
        </w:rPr>
        <w:t>(l. 2), entre Afonso da Maia e Vilaça, contrapondo a inquietação deste à atitude tranquila de Afonso quanto à ligação amorosa de Pedro.</w:t>
      </w:r>
      <w:r w:rsidR="00400067" w:rsidRPr="002735DE">
        <w:rPr>
          <w:color w:val="000000"/>
          <w:szCs w:val="20"/>
        </w:rPr>
        <w:t xml:space="preserve"> </w:t>
      </w:r>
      <w:r w:rsidR="00400067" w:rsidRPr="002735DE">
        <w:rPr>
          <w:color w:val="000000"/>
          <w:szCs w:val="20"/>
        </w:rPr>
        <w:br/>
      </w:r>
      <w:r w:rsidRPr="002735DE">
        <w:rPr>
          <w:color w:val="000000"/>
          <w:szCs w:val="20"/>
        </w:rPr>
        <w:t xml:space="preserve">A segunda – </w:t>
      </w:r>
      <w:proofErr w:type="spellStart"/>
      <w:r w:rsidRPr="002735DE">
        <w:rPr>
          <w:color w:val="000000"/>
          <w:szCs w:val="20"/>
        </w:rPr>
        <w:t>ll</w:t>
      </w:r>
      <w:proofErr w:type="spellEnd"/>
      <w:r w:rsidRPr="002735DE">
        <w:rPr>
          <w:color w:val="000000"/>
          <w:szCs w:val="20"/>
        </w:rPr>
        <w:t xml:space="preserve">. 12-27) – </w:t>
      </w:r>
      <w:proofErr w:type="gramStart"/>
      <w:r w:rsidRPr="002735DE">
        <w:rPr>
          <w:color w:val="000000"/>
          <w:szCs w:val="20"/>
        </w:rPr>
        <w:t>narra</w:t>
      </w:r>
      <w:proofErr w:type="gramEnd"/>
      <w:r w:rsidRPr="002735DE">
        <w:rPr>
          <w:color w:val="000000"/>
          <w:szCs w:val="20"/>
        </w:rPr>
        <w:t xml:space="preserve"> o momento em que Afonso vê Maria Monforte, em </w:t>
      </w:r>
      <w:r w:rsidRPr="002735DE">
        <w:rPr>
          <w:i/>
          <w:iCs/>
          <w:color w:val="000000"/>
          <w:szCs w:val="20"/>
        </w:rPr>
        <w:t xml:space="preserve">“ao pé de Queluz” </w:t>
      </w:r>
      <w:r w:rsidRPr="002735DE">
        <w:rPr>
          <w:color w:val="000000"/>
          <w:szCs w:val="20"/>
        </w:rPr>
        <w:t>(l. 13), e evidencia a perda de tranquilidade de Afonso face à relação amorosa do filho.</w:t>
      </w:r>
    </w:p>
    <w:p w:rsidR="001406D6" w:rsidRPr="002735DE" w:rsidRDefault="001406D6" w:rsidP="002735DE">
      <w:pPr>
        <w:autoSpaceDE w:val="0"/>
        <w:autoSpaceDN w:val="0"/>
        <w:adjustRightInd w:val="0"/>
        <w:spacing w:before="120" w:after="0"/>
        <w:ind w:left="270" w:hanging="270"/>
        <w:jc w:val="both"/>
        <w:rPr>
          <w:color w:val="000000"/>
          <w:szCs w:val="20"/>
        </w:rPr>
      </w:pPr>
      <w:r w:rsidRPr="002735DE">
        <w:rPr>
          <w:b/>
          <w:bCs/>
          <w:color w:val="000000"/>
          <w:szCs w:val="20"/>
        </w:rPr>
        <w:t xml:space="preserve">3. </w:t>
      </w:r>
      <w:r w:rsidRPr="002735DE">
        <w:rPr>
          <w:color w:val="000000"/>
          <w:szCs w:val="20"/>
        </w:rPr>
        <w:t>Durante a sua conversa inicial com Vilaça, Afonso mostra-se sereno, paternal e compreensivo relativamente ao comportamento do filho, que considera próprio da juventude (</w:t>
      </w:r>
      <w:r w:rsidRPr="002735DE">
        <w:rPr>
          <w:i/>
          <w:iCs/>
          <w:color w:val="000000"/>
          <w:szCs w:val="20"/>
        </w:rPr>
        <w:t>“O rapaz quererá dinheiro, quererá dar presentes à criatura…”</w:t>
      </w:r>
      <w:r w:rsidRPr="002735DE">
        <w:rPr>
          <w:color w:val="000000"/>
          <w:szCs w:val="20"/>
        </w:rPr>
        <w:t>, l. 7). Não leva, pois, a sério os sentimentos de Pedro por Maria, confiante de que a firmeza de princípios (</w:t>
      </w:r>
      <w:r w:rsidRPr="002735DE">
        <w:rPr>
          <w:i/>
          <w:iCs/>
          <w:color w:val="000000"/>
          <w:szCs w:val="20"/>
        </w:rPr>
        <w:t>“orgulho patrício”</w:t>
      </w:r>
      <w:r w:rsidRPr="002735DE">
        <w:rPr>
          <w:color w:val="000000"/>
          <w:szCs w:val="20"/>
        </w:rPr>
        <w:t xml:space="preserve">, l. 10, </w:t>
      </w:r>
      <w:r w:rsidRPr="002735DE">
        <w:rPr>
          <w:i/>
          <w:iCs/>
          <w:color w:val="000000"/>
          <w:szCs w:val="20"/>
        </w:rPr>
        <w:t>“brios de raça”</w:t>
      </w:r>
      <w:r w:rsidRPr="002735DE">
        <w:rPr>
          <w:color w:val="000000"/>
          <w:szCs w:val="20"/>
        </w:rPr>
        <w:t xml:space="preserve">, l. 10), que considera intrínseca à família, o impedirá de estabelecer um relacionamento sério com Maria Monforte. Todavia, quando a vê e a observa na companhia do filho, fica silencioso e </w:t>
      </w:r>
      <w:r w:rsidRPr="002735DE">
        <w:rPr>
          <w:i/>
          <w:iCs/>
          <w:color w:val="000000"/>
          <w:szCs w:val="20"/>
        </w:rPr>
        <w:t xml:space="preserve">“cabisbaixo” </w:t>
      </w:r>
      <w:r w:rsidRPr="002735DE">
        <w:rPr>
          <w:color w:val="000000"/>
          <w:szCs w:val="20"/>
        </w:rPr>
        <w:t>(l. 25), o que indicia uma grande inquietação.</w:t>
      </w:r>
    </w:p>
    <w:p w:rsidR="001406D6" w:rsidRPr="002735DE" w:rsidRDefault="001406D6" w:rsidP="00400067">
      <w:pPr>
        <w:autoSpaceDE w:val="0"/>
        <w:autoSpaceDN w:val="0"/>
        <w:adjustRightInd w:val="0"/>
        <w:spacing w:before="120" w:after="0"/>
        <w:ind w:left="270" w:hanging="270"/>
        <w:jc w:val="both"/>
        <w:rPr>
          <w:color w:val="000000"/>
          <w:szCs w:val="20"/>
        </w:rPr>
      </w:pPr>
      <w:r w:rsidRPr="002735DE">
        <w:rPr>
          <w:b/>
          <w:bCs/>
          <w:color w:val="000000"/>
          <w:szCs w:val="20"/>
        </w:rPr>
        <w:t xml:space="preserve">4. </w:t>
      </w:r>
      <w:r w:rsidRPr="002735DE">
        <w:rPr>
          <w:color w:val="000000"/>
          <w:szCs w:val="20"/>
        </w:rPr>
        <w:t>Ao longo do texto, são vários os indícios que apontam para o desenlace trágico da paixão de Pedro da Maia e de Maria Monforte. Assim:</w:t>
      </w:r>
    </w:p>
    <w:p w:rsidR="001406D6" w:rsidRPr="002735DE" w:rsidRDefault="001406D6" w:rsidP="00400067">
      <w:pPr>
        <w:autoSpaceDE w:val="0"/>
        <w:autoSpaceDN w:val="0"/>
        <w:adjustRightInd w:val="0"/>
        <w:spacing w:after="0"/>
        <w:ind w:left="450" w:hanging="180"/>
        <w:jc w:val="both"/>
        <w:rPr>
          <w:color w:val="000000"/>
          <w:szCs w:val="20"/>
        </w:rPr>
      </w:pPr>
      <w:r w:rsidRPr="002735DE">
        <w:rPr>
          <w:color w:val="000000"/>
          <w:szCs w:val="20"/>
        </w:rPr>
        <w:t xml:space="preserve">– </w:t>
      </w:r>
      <w:proofErr w:type="gramStart"/>
      <w:r w:rsidRPr="002735DE">
        <w:rPr>
          <w:color w:val="000000"/>
          <w:szCs w:val="20"/>
        </w:rPr>
        <w:t>a</w:t>
      </w:r>
      <w:proofErr w:type="gramEnd"/>
      <w:r w:rsidRPr="002735DE">
        <w:rPr>
          <w:color w:val="000000"/>
          <w:szCs w:val="20"/>
        </w:rPr>
        <w:t xml:space="preserve"> inquietação de Vilaça perante a urgência de Pedro em </w:t>
      </w:r>
      <w:r w:rsidRPr="002735DE">
        <w:rPr>
          <w:i/>
          <w:iCs/>
          <w:color w:val="000000"/>
          <w:szCs w:val="20"/>
        </w:rPr>
        <w:t xml:space="preserve">“levantar dinheiro” </w:t>
      </w:r>
      <w:r w:rsidRPr="002735DE">
        <w:rPr>
          <w:color w:val="000000"/>
          <w:szCs w:val="20"/>
        </w:rPr>
        <w:t xml:space="preserve">(l. 4), pouco antes de partir para Sintra, onde se encontravam os </w:t>
      </w:r>
      <w:proofErr w:type="spellStart"/>
      <w:r w:rsidRPr="002735DE">
        <w:rPr>
          <w:color w:val="000000"/>
          <w:szCs w:val="20"/>
        </w:rPr>
        <w:t>Monfortes</w:t>
      </w:r>
      <w:proofErr w:type="spellEnd"/>
      <w:r w:rsidRPr="002735DE">
        <w:rPr>
          <w:color w:val="000000"/>
          <w:szCs w:val="20"/>
        </w:rPr>
        <w:t>;</w:t>
      </w:r>
    </w:p>
    <w:p w:rsidR="001406D6" w:rsidRPr="002735DE" w:rsidRDefault="001406D6" w:rsidP="00400067">
      <w:pPr>
        <w:autoSpaceDE w:val="0"/>
        <w:autoSpaceDN w:val="0"/>
        <w:adjustRightInd w:val="0"/>
        <w:spacing w:after="0"/>
        <w:ind w:left="450" w:hanging="180"/>
        <w:jc w:val="both"/>
        <w:rPr>
          <w:color w:val="000000"/>
          <w:szCs w:val="20"/>
        </w:rPr>
      </w:pPr>
      <w:r w:rsidRPr="002735DE">
        <w:rPr>
          <w:color w:val="000000"/>
          <w:szCs w:val="20"/>
        </w:rPr>
        <w:t xml:space="preserve">– </w:t>
      </w:r>
      <w:proofErr w:type="gramStart"/>
      <w:r w:rsidRPr="002735DE">
        <w:rPr>
          <w:color w:val="000000"/>
          <w:szCs w:val="20"/>
        </w:rPr>
        <w:t>a</w:t>
      </w:r>
      <w:proofErr w:type="gramEnd"/>
      <w:r w:rsidRPr="002735DE">
        <w:rPr>
          <w:color w:val="000000"/>
          <w:szCs w:val="20"/>
        </w:rPr>
        <w:t xml:space="preserve"> dimensão da roda do vestido cor-de-rosa de Maria, que </w:t>
      </w:r>
      <w:r w:rsidRPr="002735DE">
        <w:rPr>
          <w:i/>
          <w:iCs/>
          <w:color w:val="000000"/>
          <w:szCs w:val="20"/>
        </w:rPr>
        <w:t xml:space="preserve">“quase cobria os joelhos de Pedro, sentado ao seu lado” </w:t>
      </w:r>
      <w:r w:rsidRPr="002735DE">
        <w:rPr>
          <w:color w:val="000000"/>
          <w:szCs w:val="20"/>
        </w:rPr>
        <w:t>(l. 16), antevendo o carácter dominador daquela e a anulação de Pedro sob o poder da mulher amada;</w:t>
      </w:r>
    </w:p>
    <w:p w:rsidR="001406D6" w:rsidRPr="002735DE" w:rsidRDefault="001406D6" w:rsidP="00400067">
      <w:pPr>
        <w:autoSpaceDE w:val="0"/>
        <w:autoSpaceDN w:val="0"/>
        <w:adjustRightInd w:val="0"/>
        <w:spacing w:after="0"/>
        <w:ind w:left="450" w:hanging="180"/>
        <w:jc w:val="both"/>
        <w:rPr>
          <w:color w:val="000000"/>
          <w:szCs w:val="20"/>
        </w:rPr>
      </w:pPr>
      <w:r w:rsidRPr="002735DE">
        <w:rPr>
          <w:color w:val="000000"/>
          <w:szCs w:val="20"/>
        </w:rPr>
        <w:t xml:space="preserve">– </w:t>
      </w:r>
      <w:proofErr w:type="gramStart"/>
      <w:r w:rsidRPr="002735DE">
        <w:rPr>
          <w:color w:val="000000"/>
          <w:szCs w:val="20"/>
        </w:rPr>
        <w:t>os</w:t>
      </w:r>
      <w:proofErr w:type="gramEnd"/>
      <w:r w:rsidRPr="002735DE">
        <w:rPr>
          <w:color w:val="000000"/>
          <w:szCs w:val="20"/>
        </w:rPr>
        <w:t xml:space="preserve"> </w:t>
      </w:r>
      <w:r w:rsidRPr="002735DE">
        <w:rPr>
          <w:i/>
          <w:iCs/>
          <w:color w:val="000000"/>
          <w:szCs w:val="20"/>
        </w:rPr>
        <w:t xml:space="preserve">“olhos de um azul sombrio” </w:t>
      </w:r>
      <w:r w:rsidRPr="002735DE">
        <w:rPr>
          <w:color w:val="000000"/>
          <w:szCs w:val="20"/>
        </w:rPr>
        <w:t>(l. 18) que sobressaem num rosto de beleza clássica, indiciando um perigo oculto e pressagiando uma relação funesta;</w:t>
      </w:r>
    </w:p>
    <w:p w:rsidR="001406D6" w:rsidRPr="002735DE" w:rsidRDefault="001406D6" w:rsidP="00400067">
      <w:pPr>
        <w:autoSpaceDE w:val="0"/>
        <w:autoSpaceDN w:val="0"/>
        <w:adjustRightInd w:val="0"/>
        <w:spacing w:after="0"/>
        <w:ind w:left="450" w:hanging="180"/>
        <w:jc w:val="both"/>
        <w:rPr>
          <w:color w:val="000000"/>
          <w:szCs w:val="20"/>
        </w:rPr>
      </w:pPr>
      <w:r w:rsidRPr="002735DE">
        <w:rPr>
          <w:color w:val="000000"/>
          <w:szCs w:val="20"/>
        </w:rPr>
        <w:t xml:space="preserve">– </w:t>
      </w:r>
      <w:proofErr w:type="gramStart"/>
      <w:r w:rsidRPr="002735DE">
        <w:rPr>
          <w:color w:val="000000"/>
          <w:szCs w:val="20"/>
        </w:rPr>
        <w:t>a</w:t>
      </w:r>
      <w:proofErr w:type="gramEnd"/>
      <w:r w:rsidRPr="002735DE">
        <w:rPr>
          <w:color w:val="000000"/>
          <w:szCs w:val="20"/>
        </w:rPr>
        <w:t xml:space="preserve"> imagem da </w:t>
      </w:r>
      <w:r w:rsidRPr="002735DE">
        <w:rPr>
          <w:i/>
          <w:iCs/>
          <w:color w:val="000000"/>
          <w:szCs w:val="20"/>
        </w:rPr>
        <w:t xml:space="preserve">“sombrinha escarlate” </w:t>
      </w:r>
      <w:r w:rsidRPr="002735DE">
        <w:rPr>
          <w:color w:val="000000"/>
          <w:szCs w:val="20"/>
        </w:rPr>
        <w:t xml:space="preserve">(l. 25), associada a </w:t>
      </w:r>
      <w:r w:rsidRPr="002735DE">
        <w:rPr>
          <w:i/>
          <w:iCs/>
          <w:color w:val="000000"/>
          <w:szCs w:val="20"/>
        </w:rPr>
        <w:t xml:space="preserve">“uma larga mancha de sangue” </w:t>
      </w:r>
      <w:r w:rsidRPr="002735DE">
        <w:rPr>
          <w:color w:val="000000"/>
          <w:szCs w:val="20"/>
        </w:rPr>
        <w:t>(</w:t>
      </w:r>
      <w:proofErr w:type="spellStart"/>
      <w:r w:rsidRPr="002735DE">
        <w:rPr>
          <w:color w:val="000000"/>
          <w:szCs w:val="20"/>
        </w:rPr>
        <w:t>ll</w:t>
      </w:r>
      <w:proofErr w:type="spellEnd"/>
      <w:r w:rsidRPr="002735DE">
        <w:rPr>
          <w:color w:val="000000"/>
          <w:szCs w:val="20"/>
        </w:rPr>
        <w:t>. 26-27) que envolve Pedro (numa antevisão da sua morte e do sangue que alastrará pelo tapete aquando do seu suicídio).</w:t>
      </w:r>
    </w:p>
    <w:p w:rsidR="001406D6" w:rsidRPr="002735DE" w:rsidRDefault="001406D6" w:rsidP="00400067">
      <w:pPr>
        <w:autoSpaceDE w:val="0"/>
        <w:autoSpaceDN w:val="0"/>
        <w:adjustRightInd w:val="0"/>
        <w:spacing w:before="120" w:after="0"/>
        <w:jc w:val="both"/>
        <w:rPr>
          <w:color w:val="000000"/>
          <w:szCs w:val="20"/>
        </w:rPr>
      </w:pPr>
      <w:r w:rsidRPr="002735DE">
        <w:rPr>
          <w:b/>
          <w:bCs/>
          <w:color w:val="000000"/>
          <w:szCs w:val="20"/>
        </w:rPr>
        <w:t xml:space="preserve">5. </w:t>
      </w:r>
      <w:r w:rsidRPr="002735DE">
        <w:rPr>
          <w:color w:val="000000"/>
          <w:szCs w:val="20"/>
        </w:rPr>
        <w:t>No texto, destacam-se os seguintes recursos expressivos:</w:t>
      </w:r>
    </w:p>
    <w:p w:rsidR="001406D6" w:rsidRPr="002735DE" w:rsidRDefault="001406D6" w:rsidP="00A074BA">
      <w:pPr>
        <w:autoSpaceDE w:val="0"/>
        <w:autoSpaceDN w:val="0"/>
        <w:adjustRightInd w:val="0"/>
        <w:spacing w:after="0"/>
        <w:ind w:left="450" w:hanging="180"/>
        <w:jc w:val="both"/>
        <w:rPr>
          <w:i/>
          <w:iCs/>
          <w:color w:val="000000"/>
          <w:szCs w:val="20"/>
        </w:rPr>
      </w:pPr>
      <w:r w:rsidRPr="002735DE">
        <w:rPr>
          <w:color w:val="000000"/>
          <w:szCs w:val="20"/>
        </w:rPr>
        <w:t xml:space="preserve">– </w:t>
      </w:r>
      <w:proofErr w:type="gramStart"/>
      <w:r w:rsidRPr="002735DE">
        <w:rPr>
          <w:color w:val="000000"/>
          <w:szCs w:val="20"/>
        </w:rPr>
        <w:t>a</w:t>
      </w:r>
      <w:proofErr w:type="gramEnd"/>
      <w:r w:rsidRPr="002735DE">
        <w:rPr>
          <w:color w:val="000000"/>
          <w:szCs w:val="20"/>
        </w:rPr>
        <w:t xml:space="preserve"> adjetivação simples (em anteposição – </w:t>
      </w:r>
      <w:r w:rsidRPr="002735DE">
        <w:rPr>
          <w:i/>
          <w:iCs/>
          <w:color w:val="000000"/>
          <w:szCs w:val="20"/>
        </w:rPr>
        <w:t>“larga mancha”</w:t>
      </w:r>
      <w:r w:rsidRPr="002735DE">
        <w:rPr>
          <w:color w:val="000000"/>
          <w:szCs w:val="20"/>
        </w:rPr>
        <w:t xml:space="preserve">– l. 26, e em posposição – </w:t>
      </w:r>
      <w:r w:rsidRPr="002735DE">
        <w:rPr>
          <w:i/>
          <w:iCs/>
          <w:color w:val="000000"/>
          <w:szCs w:val="20"/>
        </w:rPr>
        <w:t xml:space="preserve">“orgulho patrício” </w:t>
      </w:r>
      <w:r w:rsidRPr="002735DE">
        <w:rPr>
          <w:color w:val="000000"/>
          <w:szCs w:val="20"/>
        </w:rPr>
        <w:t xml:space="preserve">– l. 10, </w:t>
      </w:r>
      <w:r w:rsidRPr="002735DE">
        <w:rPr>
          <w:i/>
          <w:iCs/>
          <w:color w:val="000000"/>
          <w:szCs w:val="20"/>
        </w:rPr>
        <w:t xml:space="preserve">“caminho estreito” </w:t>
      </w:r>
      <w:r w:rsidRPr="002735DE">
        <w:rPr>
          <w:color w:val="000000"/>
          <w:szCs w:val="20"/>
        </w:rPr>
        <w:t xml:space="preserve">– </w:t>
      </w:r>
      <w:proofErr w:type="spellStart"/>
      <w:r w:rsidRPr="002735DE">
        <w:rPr>
          <w:color w:val="000000"/>
          <w:szCs w:val="20"/>
        </w:rPr>
        <w:t>ll</w:t>
      </w:r>
      <w:proofErr w:type="spellEnd"/>
      <w:r w:rsidRPr="002735DE">
        <w:rPr>
          <w:color w:val="000000"/>
          <w:szCs w:val="20"/>
        </w:rPr>
        <w:t xml:space="preserve">. 13-14, </w:t>
      </w:r>
      <w:r w:rsidRPr="002735DE">
        <w:rPr>
          <w:i/>
          <w:iCs/>
          <w:color w:val="000000"/>
          <w:szCs w:val="20"/>
        </w:rPr>
        <w:t xml:space="preserve">“caleche azul” </w:t>
      </w:r>
      <w:r w:rsidRPr="002735DE">
        <w:rPr>
          <w:color w:val="000000"/>
          <w:szCs w:val="20"/>
        </w:rPr>
        <w:t>– l. 14,</w:t>
      </w:r>
      <w:r w:rsidR="00400067" w:rsidRPr="002735DE">
        <w:rPr>
          <w:color w:val="000000"/>
          <w:szCs w:val="20"/>
        </w:rPr>
        <w:t xml:space="preserve"> </w:t>
      </w:r>
      <w:r w:rsidRPr="002735DE">
        <w:rPr>
          <w:i/>
          <w:iCs/>
          <w:color w:val="000000"/>
          <w:szCs w:val="20"/>
        </w:rPr>
        <w:t xml:space="preserve">“sombrinha escarlate” </w:t>
      </w:r>
      <w:r w:rsidRPr="002735DE">
        <w:rPr>
          <w:color w:val="000000"/>
          <w:szCs w:val="20"/>
        </w:rPr>
        <w:t xml:space="preserve">– </w:t>
      </w:r>
      <w:proofErr w:type="spellStart"/>
      <w:r w:rsidRPr="002735DE">
        <w:rPr>
          <w:color w:val="000000"/>
          <w:szCs w:val="20"/>
        </w:rPr>
        <w:t>ll</w:t>
      </w:r>
      <w:proofErr w:type="spellEnd"/>
      <w:r w:rsidRPr="002735DE">
        <w:rPr>
          <w:color w:val="000000"/>
          <w:szCs w:val="20"/>
        </w:rPr>
        <w:t xml:space="preserve">. 15 e 25, </w:t>
      </w:r>
      <w:r w:rsidRPr="002735DE">
        <w:rPr>
          <w:i/>
          <w:iCs/>
          <w:color w:val="000000"/>
          <w:szCs w:val="20"/>
        </w:rPr>
        <w:t>“vestido cor-de-rosa”</w:t>
      </w:r>
      <w:r w:rsidR="00A074BA" w:rsidRPr="002735DE">
        <w:rPr>
          <w:i/>
          <w:iCs/>
          <w:color w:val="000000"/>
          <w:szCs w:val="20"/>
        </w:rPr>
        <w:t xml:space="preserve"> </w:t>
      </w:r>
      <w:r w:rsidRPr="002735DE">
        <w:rPr>
          <w:color w:val="000000"/>
          <w:szCs w:val="20"/>
        </w:rPr>
        <w:t xml:space="preserve">– l. 15, </w:t>
      </w:r>
      <w:r w:rsidRPr="002735DE">
        <w:rPr>
          <w:i/>
          <w:iCs/>
          <w:color w:val="000000"/>
          <w:szCs w:val="20"/>
        </w:rPr>
        <w:t xml:space="preserve">“mármore grego” </w:t>
      </w:r>
      <w:r w:rsidRPr="002735DE">
        <w:rPr>
          <w:color w:val="000000"/>
          <w:szCs w:val="20"/>
        </w:rPr>
        <w:t xml:space="preserve">– l. 18, </w:t>
      </w:r>
      <w:r w:rsidRPr="002735DE">
        <w:rPr>
          <w:i/>
          <w:iCs/>
          <w:color w:val="000000"/>
          <w:szCs w:val="20"/>
        </w:rPr>
        <w:t xml:space="preserve">“azul sombrio” </w:t>
      </w:r>
      <w:r w:rsidRPr="002735DE">
        <w:rPr>
          <w:color w:val="000000"/>
          <w:szCs w:val="20"/>
        </w:rPr>
        <w:t xml:space="preserve">– l. 18, </w:t>
      </w:r>
      <w:r w:rsidRPr="002735DE">
        <w:rPr>
          <w:i/>
          <w:iCs/>
          <w:color w:val="000000"/>
          <w:szCs w:val="20"/>
        </w:rPr>
        <w:t xml:space="preserve">“tons rosados” </w:t>
      </w:r>
      <w:r w:rsidRPr="002735DE">
        <w:rPr>
          <w:color w:val="000000"/>
          <w:szCs w:val="20"/>
        </w:rPr>
        <w:t xml:space="preserve">– l. 19, </w:t>
      </w:r>
      <w:r w:rsidRPr="002735DE">
        <w:rPr>
          <w:i/>
          <w:iCs/>
          <w:color w:val="000000"/>
          <w:szCs w:val="20"/>
        </w:rPr>
        <w:t xml:space="preserve">“balanços lentos” </w:t>
      </w:r>
      <w:r w:rsidRPr="002735DE">
        <w:rPr>
          <w:color w:val="000000"/>
          <w:szCs w:val="20"/>
        </w:rPr>
        <w:t xml:space="preserve">– l. 22, </w:t>
      </w:r>
      <w:r w:rsidRPr="002735DE">
        <w:rPr>
          <w:i/>
          <w:iCs/>
          <w:color w:val="000000"/>
          <w:szCs w:val="20"/>
        </w:rPr>
        <w:t>“olho esgazeado”</w:t>
      </w:r>
      <w:r w:rsidR="00A074BA" w:rsidRPr="002735DE">
        <w:rPr>
          <w:i/>
          <w:iCs/>
          <w:color w:val="000000"/>
          <w:szCs w:val="20"/>
        </w:rPr>
        <w:t xml:space="preserve"> </w:t>
      </w:r>
      <w:r w:rsidRPr="002735DE">
        <w:rPr>
          <w:color w:val="000000"/>
          <w:szCs w:val="20"/>
        </w:rPr>
        <w:t xml:space="preserve">– l. 23, </w:t>
      </w:r>
      <w:r w:rsidRPr="002735DE">
        <w:rPr>
          <w:i/>
          <w:iCs/>
          <w:color w:val="000000"/>
          <w:szCs w:val="20"/>
        </w:rPr>
        <w:t xml:space="preserve">“verde triste” </w:t>
      </w:r>
      <w:r w:rsidRPr="002735DE">
        <w:rPr>
          <w:color w:val="000000"/>
          <w:szCs w:val="20"/>
        </w:rPr>
        <w:t>– l. 27) e dupla (</w:t>
      </w:r>
      <w:r w:rsidRPr="002735DE">
        <w:rPr>
          <w:i/>
          <w:iCs/>
          <w:color w:val="000000"/>
          <w:szCs w:val="20"/>
        </w:rPr>
        <w:t xml:space="preserve">“grave e pura” </w:t>
      </w:r>
      <w:r w:rsidRPr="002735DE">
        <w:rPr>
          <w:color w:val="000000"/>
          <w:szCs w:val="20"/>
        </w:rPr>
        <w:t>– l. 17), contribuindo para a descrição de espaços</w:t>
      </w:r>
      <w:r w:rsidR="00400067" w:rsidRPr="002735DE">
        <w:rPr>
          <w:color w:val="000000"/>
          <w:szCs w:val="20"/>
        </w:rPr>
        <w:t xml:space="preserve"> </w:t>
      </w:r>
      <w:r w:rsidRPr="002735DE">
        <w:rPr>
          <w:color w:val="000000"/>
          <w:szCs w:val="20"/>
        </w:rPr>
        <w:t>e de personagens;</w:t>
      </w:r>
    </w:p>
    <w:p w:rsidR="001406D6" w:rsidRPr="002735DE" w:rsidRDefault="001406D6" w:rsidP="00400067">
      <w:pPr>
        <w:autoSpaceDE w:val="0"/>
        <w:autoSpaceDN w:val="0"/>
        <w:adjustRightInd w:val="0"/>
        <w:spacing w:after="0"/>
        <w:ind w:left="450" w:hanging="180"/>
        <w:jc w:val="both"/>
        <w:rPr>
          <w:color w:val="000000"/>
          <w:szCs w:val="20"/>
        </w:rPr>
      </w:pPr>
      <w:r w:rsidRPr="002735DE">
        <w:rPr>
          <w:color w:val="000000"/>
          <w:szCs w:val="20"/>
        </w:rPr>
        <w:t xml:space="preserve">– </w:t>
      </w:r>
      <w:proofErr w:type="gramStart"/>
      <w:r w:rsidRPr="002735DE">
        <w:rPr>
          <w:color w:val="000000"/>
          <w:szCs w:val="20"/>
        </w:rPr>
        <w:t>a</w:t>
      </w:r>
      <w:proofErr w:type="gramEnd"/>
      <w:r w:rsidRPr="002735DE">
        <w:rPr>
          <w:color w:val="000000"/>
          <w:szCs w:val="20"/>
        </w:rPr>
        <w:t xml:space="preserve"> comparação (</w:t>
      </w:r>
      <w:r w:rsidRPr="002735DE">
        <w:rPr>
          <w:i/>
          <w:iCs/>
          <w:color w:val="000000"/>
          <w:szCs w:val="20"/>
        </w:rPr>
        <w:t xml:space="preserve">“a sua face, grave e pura como um mármore grego” </w:t>
      </w:r>
      <w:r w:rsidRPr="002735DE">
        <w:rPr>
          <w:color w:val="000000"/>
          <w:szCs w:val="20"/>
        </w:rPr>
        <w:t xml:space="preserve">– </w:t>
      </w:r>
      <w:proofErr w:type="spellStart"/>
      <w:r w:rsidRPr="002735DE">
        <w:rPr>
          <w:color w:val="000000"/>
          <w:szCs w:val="20"/>
        </w:rPr>
        <w:t>ll</w:t>
      </w:r>
      <w:proofErr w:type="spellEnd"/>
      <w:r w:rsidRPr="002735DE">
        <w:rPr>
          <w:color w:val="000000"/>
          <w:szCs w:val="20"/>
        </w:rPr>
        <w:t xml:space="preserve">. 17-18), sublinhando a </w:t>
      </w:r>
      <w:proofErr w:type="gramStart"/>
      <w:r w:rsidRPr="002735DE">
        <w:rPr>
          <w:color w:val="000000"/>
          <w:szCs w:val="20"/>
        </w:rPr>
        <w:t>perfeição</w:t>
      </w:r>
      <w:proofErr w:type="gramEnd"/>
      <w:r w:rsidRPr="002735DE">
        <w:rPr>
          <w:color w:val="000000"/>
          <w:szCs w:val="20"/>
        </w:rPr>
        <w:t xml:space="preserve"> clássica </w:t>
      </w:r>
      <w:r w:rsidR="00400067" w:rsidRPr="002735DE">
        <w:rPr>
          <w:color w:val="000000"/>
          <w:szCs w:val="20"/>
        </w:rPr>
        <w:t xml:space="preserve">do </w:t>
      </w:r>
      <w:r w:rsidRPr="002735DE">
        <w:rPr>
          <w:color w:val="000000"/>
          <w:szCs w:val="20"/>
        </w:rPr>
        <w:t>rosto de Maria Monforte;</w:t>
      </w:r>
    </w:p>
    <w:p w:rsidR="001406D6" w:rsidRPr="002735DE" w:rsidRDefault="001406D6" w:rsidP="00400067">
      <w:pPr>
        <w:autoSpaceDE w:val="0"/>
        <w:autoSpaceDN w:val="0"/>
        <w:adjustRightInd w:val="0"/>
        <w:spacing w:after="0"/>
        <w:ind w:left="450" w:hanging="180"/>
        <w:jc w:val="both"/>
        <w:rPr>
          <w:color w:val="000000"/>
          <w:szCs w:val="20"/>
        </w:rPr>
      </w:pPr>
      <w:r w:rsidRPr="002735DE">
        <w:rPr>
          <w:color w:val="000000"/>
          <w:szCs w:val="20"/>
        </w:rPr>
        <w:t xml:space="preserve">– </w:t>
      </w:r>
      <w:proofErr w:type="gramStart"/>
      <w:r w:rsidRPr="002735DE">
        <w:rPr>
          <w:color w:val="000000"/>
          <w:szCs w:val="20"/>
        </w:rPr>
        <w:t>a</w:t>
      </w:r>
      <w:proofErr w:type="gramEnd"/>
      <w:r w:rsidRPr="002735DE">
        <w:rPr>
          <w:color w:val="000000"/>
          <w:szCs w:val="20"/>
        </w:rPr>
        <w:t xml:space="preserve"> enumeração (</w:t>
      </w:r>
      <w:r w:rsidRPr="002735DE">
        <w:rPr>
          <w:i/>
          <w:iCs/>
          <w:color w:val="000000"/>
          <w:szCs w:val="20"/>
        </w:rPr>
        <w:t xml:space="preserve">“No assento defronte, quase todo tomado por cartões de modista, encolhia-se o Monforte, de grande chapéu panamá, calça de ganga, o mantelete da filha no braço, o guarda-sol entre os joelhos.” </w:t>
      </w:r>
      <w:r w:rsidRPr="002735DE">
        <w:rPr>
          <w:color w:val="000000"/>
          <w:szCs w:val="20"/>
        </w:rPr>
        <w:t xml:space="preserve">– </w:t>
      </w:r>
      <w:proofErr w:type="spellStart"/>
      <w:r w:rsidRPr="002735DE">
        <w:rPr>
          <w:color w:val="000000"/>
          <w:szCs w:val="20"/>
        </w:rPr>
        <w:t>ll</w:t>
      </w:r>
      <w:proofErr w:type="spellEnd"/>
      <w:r w:rsidRPr="002735DE">
        <w:rPr>
          <w:color w:val="000000"/>
          <w:szCs w:val="20"/>
        </w:rPr>
        <w:t>. 19-21), caracterizando Monforte (por contraste com a filha) como um homem de figura insignificante e algo caricata, anulado sob o peso dos objetos que pertencem a Maria;</w:t>
      </w:r>
    </w:p>
    <w:p w:rsidR="001406D6" w:rsidRPr="002735DE" w:rsidRDefault="00400067" w:rsidP="00400067">
      <w:pPr>
        <w:autoSpaceDE w:val="0"/>
        <w:autoSpaceDN w:val="0"/>
        <w:adjustRightInd w:val="0"/>
        <w:spacing w:after="0"/>
        <w:ind w:left="270"/>
        <w:jc w:val="both"/>
        <w:rPr>
          <w:color w:val="000000"/>
          <w:szCs w:val="20"/>
        </w:rPr>
      </w:pPr>
      <w:r w:rsidRPr="002735DE">
        <w:rPr>
          <w:color w:val="000000"/>
          <w:szCs w:val="20"/>
        </w:rPr>
        <w:t xml:space="preserve">– </w:t>
      </w:r>
      <w:proofErr w:type="gramStart"/>
      <w:r w:rsidR="001406D6" w:rsidRPr="002735DE">
        <w:rPr>
          <w:color w:val="000000"/>
          <w:szCs w:val="20"/>
        </w:rPr>
        <w:t>a</w:t>
      </w:r>
      <w:proofErr w:type="gramEnd"/>
      <w:r w:rsidR="001406D6" w:rsidRPr="002735DE">
        <w:rPr>
          <w:color w:val="000000"/>
          <w:szCs w:val="20"/>
        </w:rPr>
        <w:t xml:space="preserve"> hipálage (</w:t>
      </w:r>
      <w:r w:rsidR="001406D6" w:rsidRPr="002735DE">
        <w:rPr>
          <w:i/>
          <w:iCs/>
          <w:color w:val="000000"/>
          <w:szCs w:val="20"/>
        </w:rPr>
        <w:t xml:space="preserve">“verde triste das ramas” </w:t>
      </w:r>
      <w:r w:rsidR="001406D6" w:rsidRPr="002735DE">
        <w:rPr>
          <w:color w:val="000000"/>
          <w:szCs w:val="20"/>
        </w:rPr>
        <w:t>– l. 27), transpondo para a natureza a mágoa de Afonso;</w:t>
      </w:r>
    </w:p>
    <w:p w:rsidR="001406D6" w:rsidRPr="002735DE" w:rsidRDefault="00400067" w:rsidP="00A074BA">
      <w:pPr>
        <w:autoSpaceDE w:val="0"/>
        <w:autoSpaceDN w:val="0"/>
        <w:adjustRightInd w:val="0"/>
        <w:spacing w:after="0"/>
        <w:ind w:left="450" w:hanging="180"/>
        <w:jc w:val="both"/>
        <w:rPr>
          <w:color w:val="000000"/>
          <w:szCs w:val="20"/>
        </w:rPr>
      </w:pPr>
      <w:r w:rsidRPr="002735DE">
        <w:rPr>
          <w:color w:val="000000"/>
          <w:szCs w:val="20"/>
        </w:rPr>
        <w:t xml:space="preserve">– </w:t>
      </w:r>
      <w:proofErr w:type="gramStart"/>
      <w:r w:rsidR="001406D6" w:rsidRPr="002735DE">
        <w:rPr>
          <w:color w:val="000000"/>
          <w:szCs w:val="20"/>
        </w:rPr>
        <w:t>o</w:t>
      </w:r>
      <w:proofErr w:type="gramEnd"/>
      <w:r w:rsidR="001406D6" w:rsidRPr="002735DE">
        <w:rPr>
          <w:color w:val="000000"/>
          <w:szCs w:val="20"/>
        </w:rPr>
        <w:t xml:space="preserve"> recurso ao discurso direto (linhas 6-9 e 24), imprimindo vivacidade à narrativa e destacando reações das</w:t>
      </w:r>
      <w:r w:rsidRPr="002735DE">
        <w:rPr>
          <w:color w:val="000000"/>
          <w:szCs w:val="20"/>
        </w:rPr>
        <w:t xml:space="preserve"> </w:t>
      </w:r>
      <w:r w:rsidR="001406D6" w:rsidRPr="002735DE">
        <w:rPr>
          <w:color w:val="000000"/>
          <w:szCs w:val="20"/>
        </w:rPr>
        <w:t>personagens.</w:t>
      </w:r>
    </w:p>
    <w:p w:rsidR="001406D6" w:rsidRPr="002735DE" w:rsidRDefault="001406D6" w:rsidP="001406D6">
      <w:pPr>
        <w:autoSpaceDE w:val="0"/>
        <w:autoSpaceDN w:val="0"/>
        <w:adjustRightInd w:val="0"/>
        <w:spacing w:after="0"/>
        <w:jc w:val="right"/>
        <w:rPr>
          <w:color w:val="000000"/>
          <w:szCs w:val="20"/>
        </w:rPr>
      </w:pPr>
    </w:p>
    <w:p w:rsidR="003159D0" w:rsidRPr="002735DE" w:rsidRDefault="001406D6" w:rsidP="001406D6">
      <w:pPr>
        <w:autoSpaceDE w:val="0"/>
        <w:autoSpaceDN w:val="0"/>
        <w:adjustRightInd w:val="0"/>
        <w:spacing w:after="0"/>
        <w:jc w:val="right"/>
        <w:rPr>
          <w:b/>
          <w:bCs/>
          <w:color w:val="5A8DFF"/>
          <w:sz w:val="16"/>
          <w:szCs w:val="16"/>
        </w:rPr>
      </w:pPr>
      <w:bookmarkStart w:id="0" w:name="_GoBack"/>
      <w:bookmarkEnd w:id="0"/>
      <w:r w:rsidRPr="002735DE">
        <w:rPr>
          <w:color w:val="000000"/>
          <w:sz w:val="16"/>
          <w:szCs w:val="16"/>
        </w:rPr>
        <w:t>(Adaptado de “Explicitação dos critérios de classificação e respetivas cotações”, Prova Escrita de Português A, 2007, 1.ª fase)</w:t>
      </w:r>
    </w:p>
    <w:sectPr w:rsidR="003159D0" w:rsidRPr="002735DE" w:rsidSect="007626DD">
      <w:footerReference w:type="default" r:id="rId7"/>
      <w:pgSz w:w="11906" w:h="16838"/>
      <w:pgMar w:top="1417" w:right="1134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4EC4" w:rsidRDefault="00024EC4" w:rsidP="00CB2F43">
      <w:pPr>
        <w:spacing w:after="0" w:line="240" w:lineRule="auto"/>
      </w:pPr>
      <w:r>
        <w:separator/>
      </w:r>
    </w:p>
  </w:endnote>
  <w:endnote w:type="continuationSeparator" w:id="0">
    <w:p w:rsidR="00024EC4" w:rsidRDefault="00024EC4" w:rsidP="00CB2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OT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OT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E15" w:rsidRPr="00DB2E15" w:rsidRDefault="00DB2E15">
    <w:pPr>
      <w:pStyle w:val="Footer"/>
      <w:rPr>
        <w:sz w:val="16"/>
        <w:szCs w:val="16"/>
      </w:rPr>
    </w:pPr>
    <w:r w:rsidRPr="00DB2E15">
      <w:rPr>
        <w:sz w:val="16"/>
        <w:szCs w:val="16"/>
      </w:rPr>
      <w:t>OEXP11 © Porto Editora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4EC4" w:rsidRDefault="00024EC4" w:rsidP="00CB2F43">
      <w:pPr>
        <w:spacing w:after="0" w:line="240" w:lineRule="auto"/>
      </w:pPr>
      <w:r>
        <w:separator/>
      </w:r>
    </w:p>
  </w:footnote>
  <w:footnote w:type="continuationSeparator" w:id="0">
    <w:p w:rsidR="00024EC4" w:rsidRDefault="00024EC4" w:rsidP="00CB2F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DC04FC"/>
    <w:multiLevelType w:val="hybridMultilevel"/>
    <w:tmpl w:val="D4DC8DF4"/>
    <w:lvl w:ilvl="0" w:tplc="0542ED1C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  <w:color w:val="0070C0"/>
        <w:sz w:val="32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45524A"/>
    <w:multiLevelType w:val="hybridMultilevel"/>
    <w:tmpl w:val="451824FC"/>
    <w:lvl w:ilvl="0" w:tplc="0542ED1C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  <w:color w:val="0070C0"/>
        <w:sz w:val="32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4E0C"/>
    <w:rsid w:val="00005F21"/>
    <w:rsid w:val="00017263"/>
    <w:rsid w:val="00024EC4"/>
    <w:rsid w:val="000460A8"/>
    <w:rsid w:val="00047276"/>
    <w:rsid w:val="00076900"/>
    <w:rsid w:val="0007707E"/>
    <w:rsid w:val="00081599"/>
    <w:rsid w:val="000946F1"/>
    <w:rsid w:val="000A363A"/>
    <w:rsid w:val="000B0F1B"/>
    <w:rsid w:val="000B340F"/>
    <w:rsid w:val="000C3B01"/>
    <w:rsid w:val="000D7B53"/>
    <w:rsid w:val="000E2846"/>
    <w:rsid w:val="0010349A"/>
    <w:rsid w:val="001105D7"/>
    <w:rsid w:val="00112B35"/>
    <w:rsid w:val="0012500D"/>
    <w:rsid w:val="001406D6"/>
    <w:rsid w:val="00142689"/>
    <w:rsid w:val="00153AAA"/>
    <w:rsid w:val="00176DF2"/>
    <w:rsid w:val="0018760A"/>
    <w:rsid w:val="001A2815"/>
    <w:rsid w:val="001B5C43"/>
    <w:rsid w:val="001C670A"/>
    <w:rsid w:val="001E104B"/>
    <w:rsid w:val="001E563A"/>
    <w:rsid w:val="001E65BA"/>
    <w:rsid w:val="001F1484"/>
    <w:rsid w:val="001F4A68"/>
    <w:rsid w:val="001F75DD"/>
    <w:rsid w:val="002019D2"/>
    <w:rsid w:val="00210AF9"/>
    <w:rsid w:val="00212116"/>
    <w:rsid w:val="00221B6D"/>
    <w:rsid w:val="00253028"/>
    <w:rsid w:val="002623ED"/>
    <w:rsid w:val="00263063"/>
    <w:rsid w:val="002735DE"/>
    <w:rsid w:val="002856AB"/>
    <w:rsid w:val="002A4099"/>
    <w:rsid w:val="002A6197"/>
    <w:rsid w:val="002C286F"/>
    <w:rsid w:val="002C4F2A"/>
    <w:rsid w:val="002C7BD2"/>
    <w:rsid w:val="002D21B7"/>
    <w:rsid w:val="0030077D"/>
    <w:rsid w:val="0030175B"/>
    <w:rsid w:val="003053D1"/>
    <w:rsid w:val="0031334C"/>
    <w:rsid w:val="003159D0"/>
    <w:rsid w:val="003328CE"/>
    <w:rsid w:val="00334E3E"/>
    <w:rsid w:val="003379F3"/>
    <w:rsid w:val="003505EB"/>
    <w:rsid w:val="00351836"/>
    <w:rsid w:val="003618D2"/>
    <w:rsid w:val="00367232"/>
    <w:rsid w:val="00392838"/>
    <w:rsid w:val="003A34CD"/>
    <w:rsid w:val="003B74FF"/>
    <w:rsid w:val="003C2021"/>
    <w:rsid w:val="003C50B9"/>
    <w:rsid w:val="003D02E5"/>
    <w:rsid w:val="003D0E4C"/>
    <w:rsid w:val="003E39FD"/>
    <w:rsid w:val="003F68EE"/>
    <w:rsid w:val="00400067"/>
    <w:rsid w:val="00405D99"/>
    <w:rsid w:val="004107A2"/>
    <w:rsid w:val="004228C7"/>
    <w:rsid w:val="0042603F"/>
    <w:rsid w:val="00431C60"/>
    <w:rsid w:val="0043457E"/>
    <w:rsid w:val="00451B24"/>
    <w:rsid w:val="004720B1"/>
    <w:rsid w:val="00476040"/>
    <w:rsid w:val="004A0C51"/>
    <w:rsid w:val="004A4C01"/>
    <w:rsid w:val="004B66E7"/>
    <w:rsid w:val="004B6F54"/>
    <w:rsid w:val="004C6403"/>
    <w:rsid w:val="004D2F9E"/>
    <w:rsid w:val="004D68B5"/>
    <w:rsid w:val="004E1FD7"/>
    <w:rsid w:val="004E36E1"/>
    <w:rsid w:val="004F4EA0"/>
    <w:rsid w:val="00515002"/>
    <w:rsid w:val="0051533F"/>
    <w:rsid w:val="00534B57"/>
    <w:rsid w:val="0053724D"/>
    <w:rsid w:val="00547F19"/>
    <w:rsid w:val="0056438B"/>
    <w:rsid w:val="00565A5A"/>
    <w:rsid w:val="00575640"/>
    <w:rsid w:val="0057588B"/>
    <w:rsid w:val="00575C1A"/>
    <w:rsid w:val="00592548"/>
    <w:rsid w:val="00593A4F"/>
    <w:rsid w:val="005D6EAA"/>
    <w:rsid w:val="005E5DC2"/>
    <w:rsid w:val="006036CD"/>
    <w:rsid w:val="00607330"/>
    <w:rsid w:val="0061564A"/>
    <w:rsid w:val="006301E0"/>
    <w:rsid w:val="00637DF3"/>
    <w:rsid w:val="00642043"/>
    <w:rsid w:val="0067212A"/>
    <w:rsid w:val="00672A66"/>
    <w:rsid w:val="00674E0C"/>
    <w:rsid w:val="0068518D"/>
    <w:rsid w:val="0069796B"/>
    <w:rsid w:val="006B4227"/>
    <w:rsid w:val="006B4662"/>
    <w:rsid w:val="006B616D"/>
    <w:rsid w:val="006B7FEA"/>
    <w:rsid w:val="006C4904"/>
    <w:rsid w:val="006C791F"/>
    <w:rsid w:val="006E315D"/>
    <w:rsid w:val="006E3AC8"/>
    <w:rsid w:val="006E7397"/>
    <w:rsid w:val="006F050D"/>
    <w:rsid w:val="006F1B0D"/>
    <w:rsid w:val="006F3973"/>
    <w:rsid w:val="00706292"/>
    <w:rsid w:val="0071225F"/>
    <w:rsid w:val="00731F72"/>
    <w:rsid w:val="00732FFE"/>
    <w:rsid w:val="0073307B"/>
    <w:rsid w:val="007440C9"/>
    <w:rsid w:val="007560C4"/>
    <w:rsid w:val="007626DD"/>
    <w:rsid w:val="00764421"/>
    <w:rsid w:val="00776729"/>
    <w:rsid w:val="0078699E"/>
    <w:rsid w:val="0079251B"/>
    <w:rsid w:val="007A081C"/>
    <w:rsid w:val="007B238D"/>
    <w:rsid w:val="007B4657"/>
    <w:rsid w:val="007B7595"/>
    <w:rsid w:val="007C15FD"/>
    <w:rsid w:val="007C7318"/>
    <w:rsid w:val="007D28D3"/>
    <w:rsid w:val="007E1B0D"/>
    <w:rsid w:val="007E46A5"/>
    <w:rsid w:val="007E7AAB"/>
    <w:rsid w:val="007F3099"/>
    <w:rsid w:val="007F4E08"/>
    <w:rsid w:val="007F54A2"/>
    <w:rsid w:val="007F77F8"/>
    <w:rsid w:val="00806D6C"/>
    <w:rsid w:val="00817A17"/>
    <w:rsid w:val="008349E4"/>
    <w:rsid w:val="00835F56"/>
    <w:rsid w:val="0084092B"/>
    <w:rsid w:val="008504DA"/>
    <w:rsid w:val="00851393"/>
    <w:rsid w:val="0085305E"/>
    <w:rsid w:val="00855C11"/>
    <w:rsid w:val="00857BD2"/>
    <w:rsid w:val="00885C43"/>
    <w:rsid w:val="0089145C"/>
    <w:rsid w:val="008C194A"/>
    <w:rsid w:val="008C7AA0"/>
    <w:rsid w:val="008E2367"/>
    <w:rsid w:val="008F1386"/>
    <w:rsid w:val="008F2A4B"/>
    <w:rsid w:val="00921C26"/>
    <w:rsid w:val="00933494"/>
    <w:rsid w:val="009352E1"/>
    <w:rsid w:val="00947223"/>
    <w:rsid w:val="009473F7"/>
    <w:rsid w:val="00951698"/>
    <w:rsid w:val="009545B7"/>
    <w:rsid w:val="00973A67"/>
    <w:rsid w:val="00977949"/>
    <w:rsid w:val="009921EB"/>
    <w:rsid w:val="00995DBA"/>
    <w:rsid w:val="00996B42"/>
    <w:rsid w:val="0099700A"/>
    <w:rsid w:val="00997755"/>
    <w:rsid w:val="009B1863"/>
    <w:rsid w:val="009B732A"/>
    <w:rsid w:val="009C1C23"/>
    <w:rsid w:val="00A074BA"/>
    <w:rsid w:val="00A124F1"/>
    <w:rsid w:val="00A17465"/>
    <w:rsid w:val="00A20EAE"/>
    <w:rsid w:val="00A2396D"/>
    <w:rsid w:val="00A35694"/>
    <w:rsid w:val="00A45265"/>
    <w:rsid w:val="00A530B3"/>
    <w:rsid w:val="00A61BC5"/>
    <w:rsid w:val="00A83E35"/>
    <w:rsid w:val="00A87BB5"/>
    <w:rsid w:val="00A917C8"/>
    <w:rsid w:val="00AB0493"/>
    <w:rsid w:val="00AB7D73"/>
    <w:rsid w:val="00AD78B7"/>
    <w:rsid w:val="00AF1A21"/>
    <w:rsid w:val="00AF6D89"/>
    <w:rsid w:val="00B048B9"/>
    <w:rsid w:val="00B15715"/>
    <w:rsid w:val="00B165B4"/>
    <w:rsid w:val="00B228DA"/>
    <w:rsid w:val="00B3392F"/>
    <w:rsid w:val="00B350ED"/>
    <w:rsid w:val="00B57B94"/>
    <w:rsid w:val="00B943FC"/>
    <w:rsid w:val="00B94888"/>
    <w:rsid w:val="00B97A02"/>
    <w:rsid w:val="00BA06B8"/>
    <w:rsid w:val="00BA6D77"/>
    <w:rsid w:val="00BA7224"/>
    <w:rsid w:val="00BB06D0"/>
    <w:rsid w:val="00BD696A"/>
    <w:rsid w:val="00BE31F9"/>
    <w:rsid w:val="00C018E3"/>
    <w:rsid w:val="00C05478"/>
    <w:rsid w:val="00C056CF"/>
    <w:rsid w:val="00C3266D"/>
    <w:rsid w:val="00C417DB"/>
    <w:rsid w:val="00C56FD1"/>
    <w:rsid w:val="00C5709F"/>
    <w:rsid w:val="00C57916"/>
    <w:rsid w:val="00C62414"/>
    <w:rsid w:val="00C62C34"/>
    <w:rsid w:val="00C64E70"/>
    <w:rsid w:val="00C90DA9"/>
    <w:rsid w:val="00CA1316"/>
    <w:rsid w:val="00CA71B6"/>
    <w:rsid w:val="00CB199B"/>
    <w:rsid w:val="00CB2F43"/>
    <w:rsid w:val="00CB58FA"/>
    <w:rsid w:val="00CC094B"/>
    <w:rsid w:val="00CC7523"/>
    <w:rsid w:val="00CD6AD8"/>
    <w:rsid w:val="00CF2686"/>
    <w:rsid w:val="00D06EEE"/>
    <w:rsid w:val="00D14502"/>
    <w:rsid w:val="00D5128F"/>
    <w:rsid w:val="00D5328A"/>
    <w:rsid w:val="00D55F30"/>
    <w:rsid w:val="00D826C2"/>
    <w:rsid w:val="00D92FDB"/>
    <w:rsid w:val="00D94AF6"/>
    <w:rsid w:val="00D96E62"/>
    <w:rsid w:val="00DB2E15"/>
    <w:rsid w:val="00DB785C"/>
    <w:rsid w:val="00DD3F7C"/>
    <w:rsid w:val="00DF6E95"/>
    <w:rsid w:val="00E27D31"/>
    <w:rsid w:val="00E304DB"/>
    <w:rsid w:val="00E51FDF"/>
    <w:rsid w:val="00E530F5"/>
    <w:rsid w:val="00E60626"/>
    <w:rsid w:val="00E61DD5"/>
    <w:rsid w:val="00E92031"/>
    <w:rsid w:val="00E9518B"/>
    <w:rsid w:val="00E95D2C"/>
    <w:rsid w:val="00EB207B"/>
    <w:rsid w:val="00EB27C7"/>
    <w:rsid w:val="00EB6171"/>
    <w:rsid w:val="00EC3984"/>
    <w:rsid w:val="00ED207B"/>
    <w:rsid w:val="00ED5BAD"/>
    <w:rsid w:val="00ED6F04"/>
    <w:rsid w:val="00EE7C0A"/>
    <w:rsid w:val="00EF7B3C"/>
    <w:rsid w:val="00F02B0E"/>
    <w:rsid w:val="00F21AE9"/>
    <w:rsid w:val="00F324DE"/>
    <w:rsid w:val="00F638E8"/>
    <w:rsid w:val="00F74984"/>
    <w:rsid w:val="00F96DE3"/>
    <w:rsid w:val="00FB2478"/>
    <w:rsid w:val="00FC7982"/>
    <w:rsid w:val="00FE1460"/>
    <w:rsid w:val="00FE72C1"/>
    <w:rsid w:val="00FF0940"/>
    <w:rsid w:val="00FF285B"/>
    <w:rsid w:val="00FF5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 [660]" strokecolor="none"/>
    </o:shapedefaults>
    <o:shapelayout v:ext="edit">
      <o:idmap v:ext="edit" data="1"/>
    </o:shapelayout>
  </w:shapeDefaults>
  <w:decimalSymbol w:val=","/>
  <w:listSeparator w:val=";"/>
  <w15:docId w15:val="{D998D750-0560-4BB1-B9D7-1A9200656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color w:val="FFFF00"/>
        <w:sz w:val="32"/>
        <w:szCs w:val="3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5C11"/>
    <w:rPr>
      <w:color w:val="auto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2F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2F43"/>
    <w:rPr>
      <w:color w:val="auto"/>
      <w:sz w:val="20"/>
    </w:rPr>
  </w:style>
  <w:style w:type="paragraph" w:styleId="Footer">
    <w:name w:val="footer"/>
    <w:basedOn w:val="Normal"/>
    <w:link w:val="FooterChar"/>
    <w:uiPriority w:val="99"/>
    <w:unhideWhenUsed/>
    <w:rsid w:val="00CB2F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2F43"/>
    <w:rPr>
      <w:color w:val="auto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2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F43"/>
    <w:rPr>
      <w:rFonts w:ascii="Tahoma" w:hAnsi="Tahoma" w:cs="Tahoma"/>
      <w:color w:val="auto"/>
      <w:sz w:val="16"/>
      <w:szCs w:val="16"/>
    </w:rPr>
  </w:style>
  <w:style w:type="table" w:styleId="TableGrid">
    <w:name w:val="Table Grid"/>
    <w:basedOn w:val="TableNormal"/>
    <w:uiPriority w:val="59"/>
    <w:rsid w:val="003B74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856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00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568</Words>
  <Characters>3069</Characters>
  <Application>Microsoft Office Word</Application>
  <DocSecurity>4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Raquel Marques</cp:lastModifiedBy>
  <cp:revision>2</cp:revision>
  <dcterms:created xsi:type="dcterms:W3CDTF">2016-07-05T09:32:00Z</dcterms:created>
  <dcterms:modified xsi:type="dcterms:W3CDTF">2016-07-05T09:32:00Z</dcterms:modified>
</cp:coreProperties>
</file>